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19" w:lineRule="auto"/>
        <w:ind w:left="410"/>
        <w:rPr>
          <w:rFonts w:ascii="宋体" w:hAnsi="宋体" w:eastAsia="宋体" w:cs="宋体"/>
          <w:sz w:val="38"/>
          <w:szCs w:val="38"/>
        </w:rPr>
      </w:pPr>
      <w:r>
        <w:pict>
          <v:shape id="_x0000_s1026" o:spid="_x0000_s1026" o:spt="202" type="#_x0000_t202" style="position:absolute;left:0pt;margin-left:252.6pt;margin-top:473.55pt;height:53.05pt;width:13.4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5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40"/>
                      <w:w w:val="158"/>
                      <w:sz w:val="19"/>
                      <w:szCs w:val="19"/>
                    </w:rPr>
                    <w:t>般报告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24.3pt;margin-top:471.6pt;height:57.05pt;width:15.2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5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19"/>
                      <w:w w:val="116"/>
                      <w:sz w:val="22"/>
                      <w:szCs w:val="22"/>
                    </w:rPr>
                    <w:t>严重报告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2"/>
          <w:sz w:val="38"/>
          <w:szCs w:val="38"/>
        </w:rPr>
        <w:t>附件1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6" w:line="218" w:lineRule="auto"/>
        <w:ind w:left="3526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化妆品不良反应报告及分析评价流程图</w:t>
      </w:r>
    </w:p>
    <w:bookmarkEnd w:id="0"/>
    <w:p>
      <w:pPr>
        <w:spacing w:line="408" w:lineRule="auto"/>
        <w:rPr>
          <w:rFonts w:ascii="Arial"/>
          <w:sz w:val="21"/>
        </w:rPr>
      </w:pPr>
    </w:p>
    <w:p>
      <w:pPr>
        <w:spacing w:before="52" w:line="222" w:lineRule="auto"/>
        <w:ind w:left="7040"/>
        <w:rPr>
          <w:rFonts w:ascii="黑体" w:hAnsi="黑体" w:eastAsia="黑体" w:cs="黑体"/>
          <w:sz w:val="16"/>
          <w:szCs w:val="1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-135255</wp:posOffset>
            </wp:positionV>
            <wp:extent cx="8724900" cy="50546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4930" cy="505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5"/>
          <w:sz w:val="16"/>
          <w:szCs w:val="16"/>
        </w:rPr>
        <w:t>鼓</w:t>
      </w:r>
      <w:r>
        <w:rPr>
          <w:rFonts w:ascii="黑体" w:hAnsi="黑体" w:eastAsia="黑体" w:cs="黑体"/>
          <w:spacing w:val="-26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5"/>
          <w:sz w:val="16"/>
          <w:szCs w:val="16"/>
        </w:rPr>
        <w:t>励</w:t>
      </w:r>
      <w:r>
        <w:rPr>
          <w:rFonts w:ascii="黑体" w:hAnsi="黑体" w:eastAsia="黑体" w:cs="黑体"/>
          <w:spacing w:val="-23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5"/>
          <w:sz w:val="16"/>
          <w:szCs w:val="16"/>
        </w:rPr>
        <w:t>告</w:t>
      </w:r>
      <w:r>
        <w:rPr>
          <w:rFonts w:ascii="黑体" w:hAnsi="黑体" w:eastAsia="黑体" w:cs="黑体"/>
          <w:spacing w:val="-20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5"/>
          <w:sz w:val="16"/>
          <w:szCs w:val="16"/>
        </w:rPr>
        <w:t>知</w:t>
      </w:r>
    </w:p>
    <w:p>
      <w:pPr>
        <w:spacing w:before="68" w:line="190" w:lineRule="auto"/>
        <w:ind w:left="914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0"/>
          <w:sz w:val="18"/>
          <w:szCs w:val="18"/>
        </w:rPr>
        <w:t>受托生产企业、化妆品经营者、医疗机构</w:t>
      </w:r>
    </w:p>
    <w:p>
      <w:pPr>
        <w:spacing w:line="225" w:lineRule="auto"/>
        <w:ind w:left="347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15"/>
          <w:w w:val="125"/>
          <w:sz w:val="14"/>
          <w:szCs w:val="14"/>
        </w:rPr>
        <w:t>化妆品注册人、备实人</w:t>
      </w:r>
    </w:p>
    <w:p>
      <w:pPr>
        <w:spacing w:before="91" w:line="222" w:lineRule="auto"/>
        <w:ind w:left="706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31"/>
          <w:sz w:val="16"/>
          <w:szCs w:val="16"/>
        </w:rPr>
        <w:t>主动收集</w:t>
      </w:r>
    </w:p>
    <w:p/>
    <w:p/>
    <w:p/>
    <w:p>
      <w:pPr>
        <w:spacing w:line="95" w:lineRule="exact"/>
      </w:pPr>
    </w:p>
    <w:p>
      <w:pPr>
        <w:sectPr>
          <w:headerReference r:id="rId5" w:type="default"/>
          <w:footerReference r:id="rId6" w:type="default"/>
          <w:pgSz w:w="16800" w:h="11920"/>
          <w:pgMar w:top="848" w:right="1850" w:bottom="400" w:left="1209" w:header="0" w:footer="0" w:gutter="0"/>
          <w:cols w:equalWidth="0" w:num="1">
            <w:col w:w="13741"/>
          </w:cols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66" w:line="290" w:lineRule="exact"/>
        <w:ind w:left="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6"/>
          <w:position w:val="6"/>
          <w:sz w:val="20"/>
          <w:szCs w:val="20"/>
        </w:rPr>
        <w:t>对发现或获知的报告进行分析评价；</w:t>
      </w:r>
    </w:p>
    <w:p>
      <w:pPr>
        <w:spacing w:before="1" w:line="212" w:lineRule="auto"/>
        <w:ind w:left="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7"/>
          <w:sz w:val="20"/>
          <w:szCs w:val="20"/>
        </w:rPr>
        <w:t>严重报告，20日内完成自查报告，</w:t>
      </w:r>
    </w:p>
    <w:p>
      <w:pPr>
        <w:spacing w:before="59" w:line="299" w:lineRule="exact"/>
        <w:ind w:left="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3"/>
          <w:position w:val="7"/>
          <w:sz w:val="20"/>
          <w:szCs w:val="20"/>
        </w:rPr>
        <w:t>可能引发较大社会影响的，10日内</w:t>
      </w:r>
    </w:p>
    <w:p>
      <w:pPr>
        <w:spacing w:before="1" w:line="220" w:lineRule="auto"/>
        <w:ind w:left="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3"/>
          <w:sz w:val="20"/>
          <w:szCs w:val="20"/>
        </w:rPr>
        <w:t>完成自查报告。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65" w:line="249" w:lineRule="auto"/>
        <w:ind w:left="2290" w:right="117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4"/>
          <w:sz w:val="20"/>
          <w:szCs w:val="20"/>
        </w:rPr>
        <w:t>市级市场监督管理局、省级监测机。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7"/>
          <w:sz w:val="20"/>
          <w:szCs w:val="20"/>
        </w:rPr>
        <w:t>构、省药品监督管理局。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3" w:lineRule="auto"/>
        <w:ind w:left="15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一般报告，自发现或获知化妆品不良反应之日起30日内</w:t>
      </w:r>
      <w:r>
        <w:rPr>
          <w:rFonts w:ascii="黑体" w:hAnsi="黑体" w:eastAsia="黑体" w:cs="黑体"/>
          <w:spacing w:val="-4"/>
          <w:sz w:val="20"/>
          <w:szCs w:val="20"/>
        </w:rPr>
        <w:t>报告；</w:t>
      </w:r>
    </w:p>
    <w:p>
      <w:pPr>
        <w:spacing w:before="89" w:line="213" w:lineRule="auto"/>
        <w:ind w:left="15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严重报告，自发现或获知之日起15日内报告</w:t>
      </w:r>
      <w:r>
        <w:rPr>
          <w:rFonts w:ascii="黑体" w:hAnsi="黑体" w:eastAsia="黑体" w:cs="黑体"/>
          <w:spacing w:val="-3"/>
          <w:sz w:val="20"/>
          <w:szCs w:val="20"/>
        </w:rPr>
        <w:t>；</w:t>
      </w:r>
    </w:p>
    <w:p>
      <w:pPr>
        <w:spacing w:before="39" w:line="213" w:lineRule="auto"/>
        <w:ind w:left="15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6"/>
          <w:sz w:val="20"/>
          <w:szCs w:val="20"/>
        </w:rPr>
        <w:t>可能引发较大社会影响的，自发现或获知之日起3日内报告。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65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9"/>
          <w:sz w:val="20"/>
          <w:szCs w:val="20"/>
        </w:rPr>
        <w:t>国家化妆品不良反应监测信息系统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53" w:line="221" w:lineRule="auto"/>
        <w:ind w:left="78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33"/>
          <w:sz w:val="16"/>
          <w:szCs w:val="16"/>
        </w:rPr>
        <w:t>市县级监测机构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5" w:line="291" w:lineRule="exact"/>
        <w:ind w:left="15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position w:val="6"/>
          <w:sz w:val="20"/>
          <w:szCs w:val="20"/>
        </w:rPr>
        <w:t>审核报告的真实性、完整</w:t>
      </w:r>
    </w:p>
    <w:p>
      <w:pPr>
        <w:spacing w:before="1" w:line="212" w:lineRule="auto"/>
        <w:ind w:left="15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9"/>
          <w:sz w:val="20"/>
          <w:szCs w:val="20"/>
        </w:rPr>
        <w:t>性、准确性；对关联性和严</w:t>
      </w:r>
    </w:p>
    <w:p>
      <w:pPr>
        <w:spacing w:before="69" w:line="187" w:lineRule="auto"/>
        <w:ind w:left="15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0"/>
          <w:sz w:val="20"/>
          <w:szCs w:val="20"/>
        </w:rPr>
        <w:t>重程度初步分析评价。</w:t>
      </w:r>
    </w:p>
    <w:p>
      <w:pPr>
        <w:sectPr>
          <w:type w:val="continuous"/>
          <w:pgSz w:w="16800" w:h="11920"/>
          <w:pgMar w:top="848" w:right="1850" w:bottom="400" w:left="1209" w:header="0" w:footer="0" w:gutter="0"/>
          <w:cols w:equalWidth="0" w:num="2">
            <w:col w:w="6441" w:space="100"/>
            <w:col w:w="7200"/>
          </w:cols>
        </w:sectPr>
      </w:pPr>
    </w:p>
    <w:p/>
    <w:p/>
    <w:p/>
    <w:p>
      <w:pPr>
        <w:spacing w:line="44" w:lineRule="exact"/>
      </w:pPr>
    </w:p>
    <w:p>
      <w:pPr>
        <w:sectPr>
          <w:type w:val="continuous"/>
          <w:pgSz w:w="16800" w:h="11920"/>
          <w:pgMar w:top="848" w:right="1850" w:bottom="400" w:left="1209" w:header="0" w:footer="0" w:gutter="0"/>
          <w:cols w:equalWidth="0" w:num="1">
            <w:col w:w="13741"/>
          </w:cols>
        </w:sectPr>
      </w:pPr>
    </w:p>
    <w:p/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7" w:line="300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8"/>
          <w:position w:val="7"/>
          <w:sz w:val="20"/>
          <w:szCs w:val="20"/>
        </w:rPr>
        <w:t>1</w:t>
      </w:r>
      <w:r>
        <w:rPr>
          <w:rFonts w:ascii="黑体" w:hAnsi="黑体" w:eastAsia="黑体" w:cs="黑体"/>
          <w:spacing w:val="-49"/>
          <w:position w:val="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8"/>
          <w:position w:val="7"/>
          <w:sz w:val="20"/>
          <w:szCs w:val="20"/>
        </w:rPr>
        <w:t>5</w:t>
      </w:r>
      <w:r>
        <w:rPr>
          <w:rFonts w:ascii="黑体" w:hAnsi="黑体" w:eastAsia="黑体" w:cs="黑体"/>
          <w:spacing w:val="-45"/>
          <w:position w:val="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8"/>
          <w:position w:val="7"/>
          <w:sz w:val="20"/>
          <w:szCs w:val="20"/>
        </w:rPr>
        <w:t>个</w:t>
      </w:r>
      <w:r>
        <w:rPr>
          <w:rFonts w:ascii="黑体" w:hAnsi="黑体" w:eastAsia="黑体" w:cs="黑体"/>
          <w:spacing w:val="-44"/>
          <w:position w:val="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8"/>
          <w:position w:val="7"/>
          <w:sz w:val="20"/>
          <w:szCs w:val="20"/>
        </w:rPr>
        <w:t>工</w:t>
      </w:r>
      <w:r>
        <w:rPr>
          <w:rFonts w:ascii="黑体" w:hAnsi="黑体" w:eastAsia="黑体" w:cs="黑体"/>
          <w:spacing w:val="-46"/>
          <w:position w:val="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8"/>
          <w:position w:val="7"/>
          <w:sz w:val="20"/>
          <w:szCs w:val="20"/>
        </w:rPr>
        <w:t>作</w:t>
      </w:r>
    </w:p>
    <w:p>
      <w:pPr>
        <w:spacing w:line="220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4"/>
          <w:sz w:val="20"/>
          <w:szCs w:val="20"/>
        </w:rPr>
        <w:t>日</w:t>
      </w:r>
      <w:r>
        <w:rPr>
          <w:rFonts w:ascii="黑体" w:hAnsi="黑体" w:eastAsia="黑体" w:cs="黑体"/>
          <w:spacing w:val="-29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14"/>
          <w:sz w:val="20"/>
          <w:szCs w:val="20"/>
        </w:rPr>
        <w:t>完</w:t>
      </w:r>
      <w:r>
        <w:rPr>
          <w:rFonts w:ascii="黑体" w:hAnsi="黑体" w:eastAsia="黑体" w:cs="黑体"/>
          <w:spacing w:val="-3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14"/>
          <w:sz w:val="20"/>
          <w:szCs w:val="20"/>
        </w:rPr>
        <w:t>成</w:t>
      </w:r>
      <w:r>
        <w:rPr>
          <w:rFonts w:ascii="黑体" w:hAnsi="黑体" w:eastAsia="黑体" w:cs="黑体"/>
          <w:spacing w:val="-26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14"/>
          <w:sz w:val="20"/>
          <w:szCs w:val="20"/>
        </w:rPr>
        <w:t>分</w:t>
      </w:r>
    </w:p>
    <w:p>
      <w:pPr>
        <w:spacing w:before="61" w:line="21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析评价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7" w:line="280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position w:val="5"/>
          <w:sz w:val="20"/>
          <w:szCs w:val="20"/>
        </w:rPr>
        <w:t>7个工作日完</w:t>
      </w:r>
    </w:p>
    <w:p>
      <w:pPr>
        <w:spacing w:before="1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1"/>
          <w:sz w:val="20"/>
          <w:szCs w:val="20"/>
        </w:rPr>
        <w:t>成分析评价</w:t>
      </w:r>
    </w:p>
    <w:p>
      <w:pPr>
        <w:spacing w:before="71" w:line="223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0"/>
          <w:sz w:val="20"/>
          <w:szCs w:val="20"/>
        </w:rPr>
        <w:t>和跟踪报告。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9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4"/>
          <w:position w:val="7"/>
          <w:sz w:val="19"/>
          <w:szCs w:val="19"/>
        </w:rPr>
        <w:t>可能引发</w:t>
      </w:r>
    </w:p>
    <w:p>
      <w:pPr>
        <w:spacing w:before="1" w:line="231" w:lineRule="auto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29"/>
          <w:sz w:val="19"/>
          <w:szCs w:val="19"/>
        </w:rPr>
        <w:t>较大社会</w:t>
      </w:r>
    </w:p>
    <w:p>
      <w:pPr>
        <w:spacing w:before="81" w:line="232" w:lineRule="auto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24"/>
          <w:sz w:val="19"/>
          <w:szCs w:val="19"/>
        </w:rPr>
        <w:t>影响的报</w:t>
      </w:r>
    </w:p>
    <w:p>
      <w:pPr>
        <w:spacing w:before="43" w:line="234" w:lineRule="auto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z w:val="19"/>
          <w:szCs w:val="19"/>
        </w:rPr>
        <w:t>告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7" w:line="260" w:lineRule="auto"/>
        <w:ind w:right="172"/>
        <w:jc w:val="both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</w:rPr>
        <w:t>3个工作日完成分析评</w:t>
      </w:r>
      <w:r>
        <w:rPr>
          <w:rFonts w:ascii="黑体" w:hAnsi="黑体" w:eastAsia="黑体" w:cs="黑体"/>
          <w:spacing w:val="6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6"/>
          <w:sz w:val="20"/>
          <w:szCs w:val="20"/>
        </w:rPr>
        <w:t>价，7个工作日完成跟踪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8"/>
          <w:sz w:val="20"/>
          <w:szCs w:val="20"/>
        </w:rPr>
        <w:t>报告。</w:t>
      </w:r>
    </w:p>
    <w:p>
      <w:pPr>
        <w:sectPr>
          <w:type w:val="continuous"/>
          <w:pgSz w:w="16800" w:h="11920"/>
          <w:pgMar w:top="848" w:right="1850" w:bottom="400" w:left="1209" w:header="0" w:footer="0" w:gutter="0"/>
          <w:cols w:equalWidth="0" w:num="6">
            <w:col w:w="4501" w:space="100"/>
            <w:col w:w="2639" w:space="100"/>
            <w:col w:w="720" w:space="11"/>
            <w:col w:w="1991" w:space="100"/>
            <w:col w:w="1270" w:space="100"/>
            <w:col w:w="2211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65" w:line="221" w:lineRule="auto"/>
        <w:ind w:left="2532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-133350</wp:posOffset>
            </wp:positionV>
            <wp:extent cx="7118350" cy="280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8354" cy="280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2"/>
          <w:sz w:val="20"/>
          <w:szCs w:val="20"/>
        </w:rPr>
        <w:t>省级监测机构</w:t>
      </w:r>
    </w:p>
    <w:p/>
    <w:p/>
    <w:p>
      <w:pPr>
        <w:spacing w:line="17" w:lineRule="exact"/>
      </w:pPr>
    </w:p>
    <w:p>
      <w:pPr>
        <w:sectPr>
          <w:pgSz w:w="16920" w:h="12090"/>
          <w:pgMar w:top="1027" w:right="1389" w:bottom="400" w:left="2538" w:header="0" w:footer="0" w:gutter="0"/>
          <w:cols w:equalWidth="0" w:num="1">
            <w:col w:w="12993"/>
          </w:cols>
        </w:sectPr>
      </w:pPr>
    </w:p>
    <w:p>
      <w:pPr>
        <w:spacing w:before="182" w:line="273" w:lineRule="auto"/>
        <w:ind w:left="3232" w:right="601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15个工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3"/>
          <w:sz w:val="20"/>
          <w:szCs w:val="20"/>
        </w:rPr>
        <w:t>作日内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完</w:t>
      </w:r>
      <w:r>
        <w:rPr>
          <w:rFonts w:ascii="黑体" w:hAnsi="黑体" w:eastAsia="黑体" w:cs="黑体"/>
          <w:spacing w:val="-23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成</w:t>
      </w:r>
      <w:r>
        <w:rPr>
          <w:rFonts w:ascii="黑体" w:hAnsi="黑体" w:eastAsia="黑体" w:cs="黑体"/>
          <w:spacing w:val="-19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分</w:t>
      </w:r>
      <w:r>
        <w:rPr>
          <w:rFonts w:ascii="黑体" w:hAnsi="黑体" w:eastAsia="黑体" w:cs="黑体"/>
          <w:sz w:val="16"/>
          <w:szCs w:val="16"/>
        </w:rPr>
        <w:t xml:space="preserve">  </w:t>
      </w:r>
      <w:r>
        <w:rPr>
          <w:rFonts w:ascii="宋体" w:hAnsi="宋体" w:eastAsia="宋体" w:cs="宋体"/>
          <w:spacing w:val="-3"/>
          <w:sz w:val="20"/>
          <w:szCs w:val="20"/>
        </w:rPr>
        <w:t>析评价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65" w:line="187" w:lineRule="auto"/>
        <w:ind w:left="229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国家监测机构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7"/>
          <w:sz w:val="20"/>
          <w:szCs w:val="20"/>
        </w:rPr>
        <w:t>省级监测机构</w:t>
      </w:r>
      <w:r>
        <w:rPr>
          <w:rFonts w:ascii="黑体" w:hAnsi="黑体" w:eastAsia="黑体" w:cs="黑体"/>
          <w:spacing w:val="14"/>
          <w:sz w:val="20"/>
          <w:szCs w:val="20"/>
        </w:rPr>
        <w:t xml:space="preserve">    </w:t>
      </w:r>
      <w:r>
        <w:rPr>
          <w:rFonts w:ascii="黑体" w:hAnsi="黑体" w:eastAsia="黑体" w:cs="黑体"/>
          <w:spacing w:val="-7"/>
          <w:sz w:val="20"/>
          <w:szCs w:val="20"/>
        </w:rPr>
        <w:t>市县级市场监督管理局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65" w:line="281" w:lineRule="exact"/>
        <w:ind w:left="9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3"/>
          <w:position w:val="5"/>
          <w:sz w:val="20"/>
          <w:szCs w:val="20"/>
        </w:rPr>
        <w:t>7个工作日完成</w:t>
      </w:r>
    </w:p>
    <w:p>
      <w:pPr>
        <w:spacing w:line="212" w:lineRule="auto"/>
        <w:ind w:left="9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分析评价；15个</w:t>
      </w:r>
    </w:p>
    <w:p>
      <w:pPr>
        <w:spacing w:before="78" w:line="221" w:lineRule="auto"/>
        <w:ind w:left="9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7"/>
          <w:sz w:val="20"/>
          <w:szCs w:val="20"/>
        </w:rPr>
        <w:t>工作日内完成分</w:t>
      </w:r>
    </w:p>
    <w:p>
      <w:pPr>
        <w:spacing w:before="61" w:line="218" w:lineRule="auto"/>
        <w:ind w:left="9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析评价报告。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9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7"/>
          <w:sz w:val="20"/>
          <w:szCs w:val="20"/>
        </w:rPr>
        <w:t>市县级市场监督管理局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2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省级监测机构</w:t>
      </w:r>
    </w:p>
    <w:p>
      <w:pPr>
        <w:spacing w:before="301" w:line="277" w:lineRule="auto"/>
        <w:ind w:left="360" w:right="31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3"/>
          <w:sz w:val="20"/>
          <w:szCs w:val="20"/>
        </w:rPr>
        <w:t>3个工作日完成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5"/>
          <w:sz w:val="20"/>
          <w:szCs w:val="20"/>
        </w:rPr>
        <w:t>分析评价；7个工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5"/>
          <w:sz w:val="16"/>
          <w:szCs w:val="16"/>
        </w:rPr>
        <w:t>作日内完成分析</w:t>
      </w:r>
      <w:r>
        <w:rPr>
          <w:rFonts w:ascii="黑体" w:hAnsi="黑体" w:eastAsia="黑体" w:cs="黑体"/>
          <w:sz w:val="16"/>
          <w:szCs w:val="16"/>
        </w:rPr>
        <w:t xml:space="preserve">  </w:t>
      </w:r>
      <w:r>
        <w:rPr>
          <w:rFonts w:ascii="黑体" w:hAnsi="黑体" w:eastAsia="黑体" w:cs="黑体"/>
          <w:spacing w:val="-2"/>
          <w:sz w:val="20"/>
          <w:szCs w:val="20"/>
        </w:rPr>
        <w:t>评价报告</w:t>
      </w:r>
    </w:p>
    <w:p>
      <w:pPr>
        <w:sectPr>
          <w:type w:val="continuous"/>
          <w:pgSz w:w="16920" w:h="12090"/>
          <w:pgMar w:top="1027" w:right="1389" w:bottom="400" w:left="2538" w:header="0" w:footer="0" w:gutter="0"/>
          <w:cols w:equalWidth="0" w:num="4">
            <w:col w:w="4482" w:space="100"/>
            <w:col w:w="3831" w:space="100"/>
            <w:col w:w="2241" w:space="100"/>
            <w:col w:w="2141"/>
          </w:cols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65" w:line="197" w:lineRule="auto"/>
        <w:ind w:right="272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spacing w:val="-7"/>
          <w:position w:val="-1"/>
          <w:sz w:val="20"/>
          <w:szCs w:val="20"/>
        </w:rPr>
        <w:t>省药品监督管理局</w:t>
      </w:r>
      <w:r>
        <w:rPr>
          <w:rFonts w:ascii="黑体" w:hAnsi="黑体" w:eastAsia="黑体" w:cs="黑体"/>
          <w:spacing w:val="1"/>
          <w:position w:val="-1"/>
          <w:sz w:val="20"/>
          <w:szCs w:val="20"/>
        </w:rPr>
        <w:t xml:space="preserve">           </w:t>
      </w:r>
      <w:r>
        <w:rPr>
          <w:rFonts w:ascii="宋体" w:hAnsi="宋体" w:eastAsia="宋体" w:cs="宋体"/>
          <w:spacing w:val="-7"/>
          <w:position w:val="-1"/>
          <w:sz w:val="20"/>
          <w:szCs w:val="20"/>
        </w:rPr>
        <w:t>国家监测机构</w:t>
      </w:r>
      <w:r>
        <w:rPr>
          <w:rFonts w:ascii="宋体" w:hAnsi="宋体" w:eastAsia="宋体" w:cs="宋体"/>
          <w:spacing w:val="5"/>
          <w:position w:val="-1"/>
          <w:sz w:val="20"/>
          <w:szCs w:val="20"/>
        </w:rPr>
        <w:t xml:space="preserve">                    </w:t>
      </w:r>
      <w:r>
        <w:rPr>
          <w:rFonts w:ascii="黑体" w:hAnsi="黑体" w:eastAsia="黑体" w:cs="黑体"/>
          <w:spacing w:val="-7"/>
          <w:position w:val="2"/>
          <w:sz w:val="20"/>
          <w:szCs w:val="20"/>
        </w:rPr>
        <w:t>省药品监督管理局</w:t>
      </w:r>
      <w:r>
        <w:rPr>
          <w:rFonts w:ascii="黑体" w:hAnsi="黑体" w:eastAsia="黑体" w:cs="黑体"/>
          <w:spacing w:val="8"/>
          <w:position w:val="2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7"/>
          <w:sz w:val="20"/>
          <w:szCs w:val="20"/>
        </w:rPr>
        <w:t>国家监测机构</w:t>
      </w:r>
    </w:p>
    <w:p>
      <w:pPr>
        <w:sectPr>
          <w:type w:val="continuous"/>
          <w:pgSz w:w="16920" w:h="12090"/>
          <w:pgMar w:top="1027" w:right="1389" w:bottom="400" w:left="2538" w:header="0" w:footer="0" w:gutter="0"/>
          <w:cols w:equalWidth="0" w:num="1">
            <w:col w:w="12993"/>
          </w:cols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0" w:line="219" w:lineRule="auto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4"/>
          <w:sz w:val="40"/>
          <w:szCs w:val="40"/>
        </w:rPr>
        <w:t>附件2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0" w:line="219" w:lineRule="auto"/>
        <w:ind w:left="308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3"/>
          <w:sz w:val="40"/>
          <w:szCs w:val="40"/>
        </w:rPr>
        <w:t>化妆品不良反应调查处置流程图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6550" w:lineRule="exact"/>
        <w:ind w:firstLine="2499"/>
        <w:textAlignment w:val="center"/>
      </w:pPr>
      <w:r>
        <w:pict>
          <v:group id="_x0000_s1028" o:spid="_x0000_s1028" o:spt="203" style="height:327.5pt;width:525pt;" coordsize="10500,6550">
            <o:lock v:ext="edit"/>
            <v:shape id="_x0000_s1029" o:spid="_x0000_s1029" o:spt="75" type="#_x0000_t75" style="position:absolute;left:0;top:0;height:6550;width:105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0" o:spid="_x0000_s1030" o:spt="202" type="#_x0000_t202" style="position:absolute;left:190;top:246;height:6152;width:69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left="1759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9"/>
                        <w:sz w:val="20"/>
                        <w:szCs w:val="20"/>
                      </w:rPr>
                      <w:t>不良事件发生地的市县级市场监督管理局</w:t>
                    </w:r>
                  </w:p>
                  <w:p/>
                  <w:p>
                    <w:pPr>
                      <w:spacing w:line="140" w:lineRule="exact"/>
                    </w:pPr>
                  </w:p>
                  <w:tbl>
                    <w:tblPr>
                      <w:tblStyle w:val="5"/>
                      <w:tblW w:w="6008" w:type="dxa"/>
                      <w:tblInd w:w="119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033"/>
                      <w:gridCol w:w="2975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863" w:hRule="atLeast"/>
                      </w:trPr>
                      <w:tc>
                        <w:tcPr>
                          <w:tcW w:w="3033" w:type="dxa"/>
                          <w:vAlign w:val="top"/>
                        </w:tcPr>
                        <w:p>
                          <w:pPr>
                            <w:spacing w:before="50" w:line="250" w:lineRule="auto"/>
                            <w:ind w:right="326"/>
                            <w:jc w:val="both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7"/>
                              <w:sz w:val="20"/>
                              <w:szCs w:val="20"/>
                            </w:rPr>
                            <w:t>严重报告，收到同级监测机构评</w:t>
                          </w:r>
                          <w:r>
                            <w:rPr>
                              <w:rFonts w:ascii="黑体" w:hAnsi="黑体" w:eastAsia="黑体" w:cs="黑体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-7"/>
                              <w:sz w:val="20"/>
                              <w:szCs w:val="20"/>
                            </w:rPr>
                            <w:t>价意见之日起15个工作日内组织</w:t>
                          </w:r>
                          <w:r>
                            <w:rPr>
                              <w:rFonts w:ascii="黑体" w:hAnsi="黑体" w:eastAsia="黑体" w:cs="黑体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-8"/>
                              <w:sz w:val="20"/>
                              <w:szCs w:val="20"/>
                            </w:rPr>
                            <w:t>调查。</w:t>
                          </w:r>
                        </w:p>
                      </w:tc>
                      <w:tc>
                        <w:tcPr>
                          <w:tcW w:w="2975" w:type="dxa"/>
                          <w:vAlign w:val="top"/>
                        </w:tcPr>
                        <w:p>
                          <w:pPr>
                            <w:spacing w:before="2" w:line="274" w:lineRule="auto"/>
                            <w:ind w:left="326"/>
                            <w:jc w:val="both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3"/>
                              <w:sz w:val="19"/>
                              <w:szCs w:val="19"/>
                            </w:rPr>
                            <w:t>可能引发较大社会影响的，收到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5"/>
                              <w:sz w:val="19"/>
                              <w:szCs w:val="19"/>
                            </w:rPr>
                            <w:t>评价意见之日起7个工作日内组</w:t>
                          </w:r>
                          <w:r>
                            <w:rPr>
                              <w:rFonts w:ascii="黑体" w:hAnsi="黑体" w:eastAsia="黑体" w:cs="黑体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-7"/>
                              <w:sz w:val="19"/>
                              <w:szCs w:val="19"/>
                            </w:rPr>
                            <w:t>织调查。</w:t>
                          </w:r>
                        </w:p>
                      </w:tc>
                    </w:tr>
                  </w:tbl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2" w:lineRule="auto"/>
                      <w:ind w:left="2429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sz w:val="20"/>
                        <w:szCs w:val="20"/>
                      </w:rPr>
                      <w:t>形成调查处理报告</w:t>
                    </w:r>
                  </w:p>
                  <w:p>
                    <w:pPr>
                      <w:spacing w:line="33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2" w:lineRule="auto"/>
                      <w:ind w:right="9"/>
                      <w:jc w:val="right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8"/>
                        <w:sz w:val="20"/>
                        <w:szCs w:val="20"/>
                      </w:rPr>
                      <w:t>通报情况</w:t>
                    </w:r>
                  </w:p>
                  <w:p>
                    <w:pPr>
                      <w:spacing w:before="167" w:line="221" w:lineRule="auto"/>
                      <w:ind w:left="2389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7"/>
                        <w:sz w:val="20"/>
                        <w:szCs w:val="20"/>
                      </w:rPr>
                      <w:t>省药品监督管理局</w:t>
                    </w:r>
                  </w:p>
                  <w:p>
                    <w:pPr>
                      <w:spacing w:line="4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6" w:line="222" w:lineRule="auto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8"/>
                        <w:sz w:val="20"/>
                        <w:szCs w:val="20"/>
                      </w:rPr>
                      <w:t>严重报告，收到同级监测机构评</w:t>
                    </w:r>
                    <w:r>
                      <w:rPr>
                        <w:rFonts w:ascii="黑体" w:hAnsi="黑体" w:eastAsia="黑体" w:cs="黑体"/>
                        <w:spacing w:val="16"/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-8"/>
                        <w:sz w:val="20"/>
                        <w:szCs w:val="20"/>
                      </w:rPr>
                      <w:t>可能引发较大社会影响的，收到</w:t>
                    </w:r>
                  </w:p>
                  <w:p>
                    <w:pPr>
                      <w:spacing w:before="58" w:line="230" w:lineRule="auto"/>
                      <w:ind w:left="2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6"/>
                        <w:position w:val="-1"/>
                        <w:sz w:val="20"/>
                        <w:szCs w:val="20"/>
                      </w:rPr>
                      <w:t>价意见之日起7个工作日内组织</w:t>
                    </w:r>
                    <w:r>
                      <w:rPr>
                        <w:rFonts w:ascii="黑体" w:hAnsi="黑体" w:eastAsia="黑体" w:cs="黑体"/>
                        <w:spacing w:val="17"/>
                        <w:position w:val="-1"/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rFonts w:ascii="黑体" w:hAnsi="黑体" w:eastAsia="黑体" w:cs="黑体"/>
                        <w:spacing w:val="6"/>
                        <w:position w:val="1"/>
                        <w:sz w:val="20"/>
                        <w:szCs w:val="20"/>
                      </w:rPr>
                      <w:t>评价意见之日起5个工作日内</w:t>
                    </w:r>
                  </w:p>
                  <w:p>
                    <w:pPr>
                      <w:spacing w:before="62" w:line="213" w:lineRule="auto"/>
                      <w:ind w:left="20"/>
                      <w:rPr>
                        <w:rFonts w:ascii="黑体" w:hAnsi="黑体" w:eastAsia="黑体" w:cs="黑体"/>
                        <w:sz w:val="16"/>
                        <w:szCs w:val="16"/>
                      </w:rPr>
                    </w:pPr>
                    <w:r>
                      <w:rPr>
                        <w:rFonts w:ascii="黑体" w:hAnsi="黑体" w:eastAsia="黑体" w:cs="黑体"/>
                        <w:spacing w:val="2"/>
                        <w:position w:val="-1"/>
                        <w:sz w:val="20"/>
                        <w:szCs w:val="20"/>
                      </w:rPr>
                      <w:t xml:space="preserve">调查，                        </w:t>
                    </w:r>
                    <w:r>
                      <w:rPr>
                        <w:rFonts w:ascii="黑体" w:hAnsi="黑体" w:eastAsia="黑体" w:cs="黑体"/>
                        <w:spacing w:val="1"/>
                        <w:position w:val="-1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ascii="黑体" w:hAnsi="黑体" w:eastAsia="黑体" w:cs="黑体"/>
                        <w:spacing w:val="2"/>
                        <w:position w:val="1"/>
                        <w:sz w:val="16"/>
                        <w:szCs w:val="16"/>
                      </w:rPr>
                      <w:t>组织调查。</w:t>
                    </w: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2" w:lineRule="auto"/>
                      <w:ind w:left="2339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9"/>
                        <w:sz w:val="20"/>
                        <w:szCs w:val="20"/>
                      </w:rPr>
                      <w:t>形成调查处理报告</w:t>
                    </w:r>
                  </w:p>
                </w:txbxContent>
              </v:textbox>
            </v:shape>
            <v:shape id="_x0000_s1031" o:spid="_x0000_s1031" o:spt="202" type="#_x0000_t202" style="position:absolute;left:8189;top:3327;height:863;width:21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53" w:lineRule="auto"/>
                      <w:ind w:left="20" w:right="20"/>
                      <w:jc w:val="both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pacing w:val="-10"/>
                        <w:sz w:val="20"/>
                        <w:szCs w:val="20"/>
                      </w:rPr>
                      <w:t>化妆品注册人、备案人、</w:t>
                    </w:r>
                    <w:r>
                      <w:rPr>
                        <w:rFonts w:ascii="黑体" w:hAnsi="黑体" w:eastAsia="黑体" w:cs="黑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4"/>
                        <w:sz w:val="20"/>
                        <w:szCs w:val="20"/>
                      </w:rPr>
                      <w:t>境内责任人所在地省级</w:t>
                    </w:r>
                    <w:r>
                      <w:rPr>
                        <w:rFonts w:ascii="黑体" w:hAnsi="黑体" w:eastAsia="黑体" w:cs="黑体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8"/>
                        <w:sz w:val="20"/>
                        <w:szCs w:val="20"/>
                      </w:rPr>
                      <w:t>药品监管部门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7060" w:h="12300"/>
          <w:pgMar w:top="1045" w:right="1650" w:bottom="400" w:left="241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2" w:lineRule="auto"/>
        <w:rPr>
          <w:rFonts w:ascii="Arial"/>
          <w:sz w:val="2"/>
        </w:rPr>
      </w:pPr>
    </w:p>
    <w:tbl>
      <w:tblPr>
        <w:tblStyle w:val="5"/>
        <w:tblW w:w="873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9" w:hRule="atLeast"/>
        </w:trPr>
        <w:tc>
          <w:tcPr>
            <w:tcW w:w="87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7" w:line="219" w:lineRule="auto"/>
              <w:ind w:left="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抄送：国家药品监督管理局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7" w:line="226" w:lineRule="auto"/>
              <w:ind w:left="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江苏省药品监督管理局办公室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              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2022年12月20日印发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20" w:h="16800"/>
      <w:pgMar w:top="1428" w:right="1649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hYmJhZjljZmZiNzI4ODgwNWJmZTU2NTUzMDI1OTIifQ=="/>
  </w:docVars>
  <w:rsids>
    <w:rsidRoot w:val="00000000"/>
    <w:rsid w:val="064B226B"/>
    <w:rsid w:val="48936FF2"/>
    <w:rsid w:val="691E5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1006</Words>
  <Characters>1023</Characters>
  <TotalTime>11</TotalTime>
  <ScaleCrop>false</ScaleCrop>
  <LinksUpToDate>false</LinksUpToDate>
  <CharactersWithSpaces>1217</CharactersWithSpaces>
  <Application>WPS Office_11.8.2.11707_F1E327BC-269C-435d-A152-05C5408002CA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2023-01-05T10:31:00Z</dcterms:created>
  <dc:creator>Kingsoft-PDF</dc:creator>
  <cp:lastModifiedBy>孙小迪(sunxd)</cp:lastModifiedBy>
  <dcterms:modified xsi:type="dcterms:W3CDTF">2023-01-05T02:53:39Z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2023-01-05T10:31:18Z</vt:filetime>
  </property>
  <property fmtid="{D5CDD505-2E9C-101B-9397-08002B2CF9AE}" pid="4" name="UsrData">
    <vt:lpwstr>63b63667a2d7b00015997ce5</vt:lpwstr>
  </property>
  <property fmtid="{D5CDD505-2E9C-101B-9397-08002B2CF9AE}" pid="5" name="KSOProductBuildVer">
    <vt:lpwstr>2052-11.8.2.11707</vt:lpwstr>
  </property>
  <property fmtid="{D5CDD505-2E9C-101B-9397-08002B2CF9AE}" pid="6" name="ICV">
    <vt:lpwstr>A70A797F88C0431389F4E26FACC938BF</vt:lpwstr>
  </property>
</Properties>
</file>